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Vaxholm kommunfullmäktige</w:t>
      </w:r>
    </w:p>
    <w:p>
      <w:pPr>
        <w:pStyle w:val="Heading1"/>
      </w:pPr>
      <w:r>
        <w:t xml:space="preserve">Digital service och e-tjänster i kommunhuset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Vaxholm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Vaxholm har lägre andel digitala ärenden än jämförbara kommuner enligt Kolada 2024. Förenklad digital service ökar tillgänglighet för invånare.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Vaxholm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digitaliseringsstrategi med mål om 70 % digitala ärenden antas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fler e-tjänster för bygglov och äldreomsorg lanseras.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utbildning för personal genomförs under 2026.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redovisas i kommunfullmäktige.</w:t>
      </w:r>
    </w:p>
    <w:p>
      <w:pPr>
        <w:spacing w:before="360"/>
      </w:pPr>
    </w:p>
    <w:p>
      <w:r>
        <w:t xml:space="preserve">Vaxholm,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Vaxholm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2026-07-14T01:47:09.803Z</dcterms:created>
  <dcterms:modified xsi:type="dcterms:W3CDTF">2026-07-14T01:47:09.803Z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