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Täby kommunfullmäktige</w:t>
      </w:r>
    </w:p>
    <w:p>
      <w:pPr>
        <w:pStyle w:val="Heading1"/>
      </w:pPr>
      <w:r>
        <w:t xml:space="preserve">Fler småhus i Täby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Täby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Täby har hög efterfrågan på småhus men byggtakten är låg. Boverkets statistik visar att endast 25 % av nyproduktionen 2024 var småhus. Detta försvårar för barnfamiljer att bo kvar i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Täby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ett mål om minst 150 nya småhus per år fram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planprocesserna för småhusområden i Näsbypark och Hägernäs förenklas.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utreder markanvisningar riktade mot småhusbyggande.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av småhusbyggandet presenteras för fullmäktige.</w:t>
      </w:r>
    </w:p>
    <w:p>
      <w:pPr>
        <w:spacing w:before="360"/>
      </w:pPr>
    </w:p>
    <w:p>
      <w:r>
        <w:t xml:space="preserve">Täby,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Täby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2026-07-14T01:38:34.431Z</dcterms:created>
  <dcterms:modified xsi:type="dcterms:W3CDTF">2026-07-14T01:38:34.431Z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