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Sundbyberg kommunfullmäktige</w:t>
      </w:r>
    </w:p>
    <w:p>
      <w:pPr>
        <w:pStyle w:val="Heading1"/>
      </w:pPr>
      <w:r>
        <w:t xml:space="preserve">Stärk studiero och digital kompetens i grundskolan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Sundbyberg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Meritvärde 235 (Kolada 2024) ligger under rikssnitt. Studiero är ett återkommande problem enligt Skolinspektionen 2023.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Sundbyberg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införa riktade insatser för studiero i alla grundskolor från höstterminen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öka antalet digitala verktyg och fortbildning för lärare med 5 miljoner kronor per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behålla och utveckla landsbygdsskolor i Duvbo.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redovisa meritvärde och studieroindex årligen.</w:t>
      </w:r>
    </w:p>
    <w:p>
      <w:pPr>
        <w:spacing w:before="360"/>
      </w:pPr>
    </w:p>
    <w:p>
      <w:r>
        <w:t xml:space="preserve">Sundbyberg,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Sundbyberg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2026-07-14T01:22:43.928Z</dcterms:created>
  <dcterms:modified xsi:type="dcterms:W3CDTF">2026-07-14T01:22:43.928Z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