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Solna kommunfullmäktige</w:t>
      </w:r>
    </w:p>
    <w:p>
      <w:pPr>
        <w:pStyle w:val="Heading1"/>
      </w:pPr>
      <w:r>
        <w:t xml:space="preserve">Stöd till lokalt näringsliv och startups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Centerpartiet i Solna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Solna har starkt företagsklimat men småföretagare efterfrågar bättre rådgivning (Svenskt Näringsliv 2024). Arbetsplatserna är många men matchning kan förbättras.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Centerpartiet i Solna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inrätta ett lokalt näringslivsråd med årligt möte.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en startup-hub etableras i samverkan med befintliga aktörer i Solna.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avgifter för serveringstillstånd sänks för nystartade företag under första året.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mål om 500 nya jobb via lokala insatser sätts till 2028.</w:t>
      </w:r>
    </w:p>
    <w:p>
      <w:pPr>
        <w:spacing w:before="360"/>
      </w:pPr>
    </w:p>
    <w:p>
      <w:r>
        <w:t xml:space="preserve">Solna,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Centerpartiet i Solna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2026-07-14T01:17:18.501Z</dcterms:created>
  <dcterms:modified xsi:type="dcterms:W3CDTF">2026-07-14T01:17:18.501Z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