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Sollentuna kommunfullmäktige</w:t>
      </w:r>
    </w:p>
    <w:p>
      <w:pPr>
        <w:pStyle w:val="Heading1"/>
      </w:pPr>
      <w:r>
        <w:t xml:space="preserve">Ökat inflytande för lokala föreningar över närmiljö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en prioritering för Centerpartiet. Idag har föreningar i Sollentuna begränsat inflytande över lokala beslut trots god kännedom om behoven.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en modell för medborgarbudget i utvalda 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föreningar ges rätt att lämna förslag på investeringar upp till 500 000 kr.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utvärdering av inflytandet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information om möjligheterna sprids via kommunens kanaler.</w:t>
      </w:r>
    </w:p>
    <w:p>
      <w:pPr>
        <w:spacing w:before="360"/>
      </w:pPr>
    </w:p>
    <w:p>
      <w:r>
        <w:t xml:space="preserve">Sollentuna,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2026-07-14T01:16:55.338Z</dcterms:created>
  <dcterms:modified xsi:type="dcterms:W3CDTF">2026-07-14T01:16:55.338Z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