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Södertälje kommunfullmäktige</w:t>
      </w:r>
    </w:p>
    <w:p>
      <w:pPr>
        <w:pStyle w:val="Heading1"/>
      </w:pPr>
      <w:r>
        <w:t xml:space="preserve">Digital kommunal service och lägre avgifter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Södertälje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invånare efterfrågar enklare digital kontakt. Kommunens e-tjänster ligger efter jämförbara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Södertälje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inför en gemensam digital portal för alla kommunala tjänster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sänker avgifter för digitala ansökningar med 30 procent.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utbildar personal i digital service.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mäter medborgarnöjdhet via årlig enkät.</w:t>
      </w:r>
    </w:p>
    <w:p>
      <w:pPr>
        <w:spacing w:before="360"/>
      </w:pPr>
    </w:p>
    <w:p>
      <w:r>
        <w:t xml:space="preserve">Södertälje,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Södertälje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2026-07-14T01:28:42.004Z</dcterms:created>
  <dcterms:modified xsi:type="dcterms:W3CDTF">2026-07-14T01:28:42.004Z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