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Södertälje kommunfullmäktige</w:t>
      </w:r>
    </w:p>
    <w:p>
      <w:pPr>
        <w:pStyle w:val="Heading1"/>
      </w:pPr>
      <w:r>
        <w:t xml:space="preserve">Fler småhus och hyresrätter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Södertälje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hindrar inflyttning. Boverkets statistik visar att Södertälje behöver fler småhus för familjer och unga.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Södertälje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uppdaterar översiktsplanen med fler områden för småhusbyggande i Järna.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sänker tomträttsavgälden för småhus på landsbygden med 20 procent.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uppmanar kommunala bostadsbolaget att bygga 50 hyresrätter per år i Mölbo.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förenklar detaljplaner för landsbygdsboende.</w:t>
      </w:r>
    </w:p>
    <w:p>
      <w:pPr>
        <w:spacing w:before="360"/>
      </w:pPr>
    </w:p>
    <w:p>
      <w:r>
        <w:t xml:space="preserve">Södertälje,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Södertälje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2026-07-14T01:28:41.979Z</dcterms:created>
  <dcterms:modified xsi:type="dcterms:W3CDTF">2026-07-14T01:28:41.979Z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