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Nynäshamn kommunfullmäktige</w:t>
      </w:r>
    </w:p>
    <w:p>
      <w:pPr>
        <w:pStyle w:val="Heading1"/>
      </w:pPr>
      <w:r>
        <w:t xml:space="preserve">Hållbar utveckling av Nynäshamns hamn och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Nynäshamn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Hamnens betydelse för turism och Gotlandsfärjan är stor, men miljöpåverkan från kryssningsfartyg och avfallshantering behöver minska (Miljörapport 2023). Besöksnäringen omsatte 320 miljoner kronor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Nynäshamn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uppdra åt hamnstyrelsen att införa landström för fartyg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ta fram en strategi för cirkulär avfallshantering i hamnen.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stödja lokala producenter genom en årlig skärgårdsmarknad.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och redovisa besöksnäringens koldioxidutsläpp årligen.</w:t>
      </w:r>
    </w:p>
    <w:p>
      <w:pPr>
        <w:spacing w:before="360"/>
      </w:pPr>
    </w:p>
    <w:p>
      <w:r>
        <w:t xml:space="preserve">Nynäshamn,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Nynäshamn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2026-07-14T00:59:39.924Z</dcterms:created>
  <dcterms:modified xsi:type="dcterms:W3CDTF">2026-07-14T00:59:39.924Z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