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Norrtälje kommunfullmäktige</w:t>
      </w:r>
    </w:p>
    <w:p>
      <w:pPr>
        <w:pStyle w:val="Heading1"/>
      </w:pPr>
      <w:r>
        <w:t xml:space="preserve">Utbyggnad av bredband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Norrtälje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Norrtälje har stora områden utan fiber trots PTS-mål om 100 Mbit/s till 2025. Enligt kommunens egen kartläggning 2024 saknar över 3 000 hushåll på landsbygden snabbt bredband, vilket hämmar företagande och distansarbete. Detta strider mot Centerpartiets prioritering om hela kommunen.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Norrtälje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8 miljoner kronor årligen 2027–2029 för fiberutbyggnad i prioriterade landsbygdsområden.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tar fram en uppdaterad bredbandsstrategi med tydliga tidsplaner och samverkan med privata aktörer.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Norrtälje kommun ansöker om maximalt statligt stöd via Bredbandsstöd 2.0.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uppföljningsrapport lämnas till kommunfullmäktige.</w:t>
      </w:r>
    </w:p>
    <w:p>
      <w:pPr>
        <w:spacing w:before="360"/>
      </w:pPr>
    </w:p>
    <w:p>
      <w:r>
        <w:t xml:space="preserve">Norrtälje,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Norrtälje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2026-07-14T00:57:09.060Z</dcterms:created>
  <dcterms:modified xsi:type="dcterms:W3CDTF">2026-07-14T00:57:09.060Z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