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Järfälla kommunfullmäktige</w:t>
      </w:r>
    </w:p>
    <w:p>
      <w:pPr>
        <w:pStyle w:val="Heading1"/>
      </w:pPr>
      <w:r>
        <w:t xml:space="preserve">Snabbare etablering för nyanlända via lokala matchningar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Järfälla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Integrationen i Kallhäll behöver förbättras enligt kommunens rapport 2025. Språk och jobbmatchning ger snabbare egenförsörjning.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Järfälla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ett lokalt matchningsprogram mellan företag och nyanlända startas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SFI-undervisning kopplas till praktikplatser hos kommunala bolag.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redovisas årligen till arbetsmarknadsnämnden.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Arbetsförmedlingen formaliseras.</w:t>
      </w:r>
    </w:p>
    <w:p>
      <w:pPr>
        <w:spacing w:before="360"/>
      </w:pPr>
    </w:p>
    <w:p>
      <w:r>
        <w:t xml:space="preserve">Järfälla,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Järfälla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2026-07-14T00:21:22.450Z</dcterms:created>
  <dcterms:modified xsi:type="dcterms:W3CDTF">2026-07-14T00:21:22.450Z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