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Botkyrka kommunfullmäktige</w:t>
      </w:r>
    </w:p>
    <w:p>
      <w:pPr>
        <w:pStyle w:val="Heading1"/>
      </w:pPr>
      <w:r>
        <w:t xml:space="preserve">Sänkt avgift för bygglov och serveringstillstånd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Botkyrka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Näringslivs ranking 2025 placerar Botkyrka på plats 178. Höga avgifter hämmar småföretagare. Sänkta avgifter kan stimulera lokalt näringsliv och besöksnäring.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Botkyrka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sänka bygglovsavgifterna med 25 % för småföretag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halvera avgiften för tillfälliga serveringstillstånd för evenemang.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digital ansökningsportal med tidsgaranti på 15 arbetsdagar.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effekten på nyetableringar efter ett år.</w:t>
      </w:r>
    </w:p>
    <w:p>
      <w:pPr>
        <w:spacing w:before="360"/>
      </w:pPr>
    </w:p>
    <w:p>
      <w:r>
        <w:t xml:space="preserve">Botkyrka,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Botkyrka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2026-07-13T23:43:30.187Z</dcterms:created>
  <dcterms:modified xsi:type="dcterms:W3CDTF">2026-07-13T23:43:30.187Z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