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Botkyrka kommunfullmäktige</w:t>
      </w:r>
    </w:p>
    <w:p>
      <w:pPr>
        <w:pStyle w:val="Heading1"/>
      </w:pPr>
      <w:r>
        <w:t xml:space="preserve">Tryggare offentliga miljöer i Hallunda och Norsborg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Botkyrka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Brå:s trygghetsundersökning 2024 visar att 42 % av invånarna i norra Botkyrka känner sig otrygga kvällstid. Belysning, kameror och samverkan med föreningsliv kan öka tryggheten snabbt. Centerpartiet vill prioritera konkreta åtgärder framför stora utredningar.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Botkyrka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belysningen och installera fler kameror i prioriterade områden i Hallunda och Norsborg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ett lokalt trygghetsråd med representanter från polis, kommun och civilsamhälle.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 miljoner kronor årligen för trygghetsskapande insatser i samverkan med fastighetsägare.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av insatserna i en årlig rapport till kommunfullmäktige.</w:t>
      </w:r>
    </w:p>
    <w:p>
      <w:pPr>
        <w:spacing w:before="360"/>
      </w:pPr>
    </w:p>
    <w:p>
      <w:r>
        <w:t xml:space="preserve">Botkyrka,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Botkyrka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2026-07-13T23:43:30.153Z</dcterms:created>
  <dcterms:modified xsi:type="dcterms:W3CDTF">2026-07-13T23:43:30.153Z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