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Vingåker kommunfullmäktige</w:t>
      </w:r>
    </w:p>
    <w:p>
      <w:pPr>
        <w:pStyle w:val="Heading1"/>
      </w:pPr>
      <w:r>
        <w:t xml:space="preserve">Solenergi på kommunala fastigheter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Vingåker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Vingåker har goda förutsättningar för solenergi. Kommunens egen energianvändning kan minskas samtidigt som lokala jobb skapas. Klimatstrategin 2023 saknar konkreta mål för solceller.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Vingåker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installera solcellsanläggningar på minst fem kommunala fastigheter under 2027–2028.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investeringsram på 8 miljoner kronor avsätts i budget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elproduktionen ska täcka minst 15 % av kommunens elbehov senast 2030.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energirapport lämnas till kommunfullmäktige.</w:t>
      </w:r>
    </w:p>
    <w:p>
      <w:pPr>
        <w:spacing w:before="360"/>
      </w:pPr>
    </w:p>
    <w:p>
      <w:r>
        <w:t xml:space="preserve">Vingåker,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Vingåker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2026-07-14T01:50:31.241Z</dcterms:created>
  <dcterms:modified xsi:type="dcterms:W3CDTF">2026-07-14T01:50:31.241Z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