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Vingåker kommunfullmäktige</w:t>
      </w:r>
    </w:p>
    <w:p>
      <w:pPr>
        <w:pStyle w:val="Heading1"/>
      </w:pPr>
      <w:r>
        <w:t xml:space="preserve">Satsning på bredband i Vingåkers landsbygd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Vingåker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2024 saknar cirka 18 % av hushållen på landsbygden tillgång till 100 Mbit/s. Detta hämmar distansarbete, företagande och digital inkludering. Kommunen har tidigare avsatt medel men takten är för låg jämfört med grannkommuner.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Vingåker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ta fram en handlingsplan för att uppnå 95 % täckning av 100 Mbit/s på landsbygden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2,5 miljoner kronor per år 2027–2029 för medfinansiering av bredbandsutbyggnad.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Telia och andra operatörer prioriteras i områdena kring Aspa, Österåker och Marmorbyn.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uppföljningsrapport lämnas till kommunfullmäktige.</w:t>
      </w:r>
    </w:p>
    <w:p>
      <w:pPr>
        <w:spacing w:before="360"/>
      </w:pPr>
    </w:p>
    <w:p>
      <w:r>
        <w:t xml:space="preserve">Vingåker,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Vingåker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2026-07-14T01:50:31.210Z</dcterms:created>
  <dcterms:modified xsi:type="dcterms:W3CDTF">2026-07-14T01:50:31.210Z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