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Trosa kommunfullmäktige</w:t>
      </w:r>
    </w:p>
    <w:p>
      <w:pPr>
        <w:pStyle w:val="Heading1"/>
      </w:pPr>
      <w:r>
        <w:t xml:space="preserve">Cirkulär ekonomi och biologisk mångfald i Trosaån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Trosa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Länsstyrelsen rapporterar övergödning i Trosaån. Kommunen kan bidra genom lokala åtgärder som gynnar både klimat och biologisk mångfald.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Trosa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åtgärdsplan för Trosaån antas med fokus på våtmarker och fosforfällor.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kommunala upphandlingar prioriterar cirkulära lösningar från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lantbrukare för kantzoner uppmuntras.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årligen i miljörapport.</w:t>
      </w:r>
    </w:p>
    <w:p>
      <w:pPr>
        <w:spacing w:before="360"/>
      </w:pPr>
    </w:p>
    <w:p>
      <w:r>
        <w:t xml:space="preserve">Trosa,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Trosa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2026-07-14T01:37:04.376Z</dcterms:created>
  <dcterms:modified xsi:type="dcterms:W3CDTF">2026-07-14T01:37:04.376Z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