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Strängnäs kommunfullmäktige</w:t>
      </w:r>
    </w:p>
    <w:p>
      <w:pPr>
        <w:pStyle w:val="Heading1"/>
      </w:pPr>
      <w:r>
        <w:t xml:space="preserve">Sänkt avgift för småföretagare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Strängnäs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Svenskt Näringslivs ranking 2025 placerar Strängnäs på plats 142 i företagsklimat. Höga avgifter för tillstånd och tillsyn försvårar för småföretag. Enklare och billigare regler behövs för att skapa fler jobb lokalt.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Strängnäs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20 % lägre avgifter för bygglov och serveringstillstånd för företag med färre än 10 anställda.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samlad avgiftsöversyn genomförs under 2026 med fokus på förenkling.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ett lokalt företagsråd inrättas med representation från näringslivet.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på nyetableringar följs upp årligen.</w:t>
      </w:r>
    </w:p>
    <w:p>
      <w:pPr>
        <w:spacing w:before="360"/>
      </w:pPr>
    </w:p>
    <w:p>
      <w:r>
        <w:t xml:space="preserve">Strängnäs,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Strängnäs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2026-07-14T01:21:14.523Z</dcterms:created>
  <dcterms:modified xsi:type="dcterms:W3CDTF">2026-07-14T01:21:14.523Z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