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Nyköping kommunfullmäktige</w:t>
      </w:r>
    </w:p>
    <w:p>
      <w:pPr>
        <w:pStyle w:val="Heading1"/>
      </w:pPr>
      <w:r>
        <w:t xml:space="preserve">Snabbare etablering för nyanlända via lokala jobb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Nyköping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Arbetsförmedlingens statistik 2025 visar att 42 % av nyanlända i Nyköping saknar sysselsättning efter två år. Lokala företag i besöksnäring och gröna näringar har rekryteringsbehov men matchningen brister.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Nyköping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lokal jobbpilot för nyanlända i samarbete med näringslivet.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avsätter 2,5 miljoner kronor årligen till praktikplatser hos småföretag.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ger integrationsenheten i uppdrag att erbjuda yrkessvenska kopplat till lokala branscher.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årligen utvärderar etableringstiden och redovisar resultat till fullmäktige.</w:t>
      </w:r>
    </w:p>
    <w:p>
      <w:pPr>
        <w:spacing w:before="360"/>
      </w:pPr>
    </w:p>
    <w:p>
      <w:r>
        <w:t xml:space="preserve">Nyköping,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Nyköping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2026-07-14T00:59:06.467Z</dcterms:created>
  <dcterms:modified xsi:type="dcterms:W3CDTF">2026-07-14T00:59:06.467Z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