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Gnesta kommunfullmäktige</w:t>
      </w:r>
    </w:p>
    <w:p>
      <w:pPr>
        <w:pStyle w:val="Heading1"/>
      </w:pPr>
      <w:r>
        <w:t xml:space="preserve">Bredband till alla delar av Gnesta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Gnesta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cirka 18 % av hushållen på landsbygden fiber eller snabb uppkoppling. Detta hämmar distansarbete, företagsetablering och digital delaktighet. Gnesta kommun har tidigare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Gnesta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tidsplan för fiberutbyggnad till samtliga byar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budgetmedel avsätts för samfinansiering med operatörer under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uppföljningsrapport lämnas till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dialog inleds med Trafikverket och regionen om samordning med vägarbeten.</w:t>
      </w:r>
    </w:p>
    <w:p>
      <w:pPr>
        <w:spacing w:before="360"/>
      </w:pPr>
    </w:p>
    <w:p>
      <w:r>
        <w:t xml:space="preserve">Gnesta,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Gnesta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2026-07-13T23:58:46.829Z</dcterms:created>
  <dcterms:modified xsi:type="dcterms:W3CDTF">2026-07-13T23:58:46.829Z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