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Ystad kommunfullmäktige</w:t>
      </w:r>
    </w:p>
    <w:p>
      <w:pPr>
        <w:pStyle w:val="Heading1"/>
      </w:pPr>
      <w:r>
        <w:t xml:space="preserve">Effektivare och enklare tillståndsprocesser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Ystad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Näringslivs kommunranking 2025 placerar Ystad på plats 142 i företagsklimat. Företagare uppger långa handläggningstider för bygglov och serveringstillstånd som ett hinder.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Ystad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tidsgarantier för bygglov (max 8 veckor) och serveringstillstånd.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byggnadsnämnden i uppdrag att digitalisera hela tillståndsprocessen.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sänker avgifterna för mindre bygglov med 20 %.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handläggningstider kvartalsvis.</w:t>
      </w:r>
    </w:p>
    <w:p>
      <w:pPr>
        <w:spacing w:before="360"/>
      </w:pPr>
    </w:p>
    <w:p>
      <w:r>
        <w:t xml:space="preserve">Ystad,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Ystad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2026-07-14T01:55:29.088Z</dcterms:created>
  <dcterms:modified xsi:type="dcterms:W3CDTF">2026-07-14T01:55:29.088Z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