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Ystad kommunfullmäktige</w:t>
      </w:r>
    </w:p>
    <w:p>
      <w:pPr>
        <w:pStyle w:val="Heading1"/>
      </w:pPr>
      <w:r>
        <w:t xml:space="preserve">Snabbare etablering för nyanlända via lokalt näringsliv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Ystad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Arbetsförmedlingens statistik visar att endast 42 % av nyanlända i Ystad har arbete efter två år. Lokala företag efterfrågar arbetskraft inom jordbruk, besöksnäring och industri men matchningen fungerar dåligt.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Ystad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inrätta en lokal matchningsfunktion mellan näringsliv och nyanlända.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avsätter medel för praktikplatser och yrkessvenska i samarbete med Ystads näringsliv.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ger integrationsenheten i uppdrag att erbjuda språkundervisning på arbetsplatser.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årligen redovisar sysselsättningsgrad för nyanlända.</w:t>
      </w:r>
    </w:p>
    <w:p>
      <w:pPr>
        <w:spacing w:before="360"/>
      </w:pPr>
    </w:p>
    <w:p>
      <w:r>
        <w:t xml:space="preserve">Ystad,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Ystad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2026-07-14T01:55:29.070Z</dcterms:created>
  <dcterms:modified xsi:type="dcterms:W3CDTF">2026-07-14T01:55:29.070Z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