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Vellinge kommunfullmäktige</w:t>
      </w:r>
    </w:p>
    <w:p>
      <w:pPr>
        <w:pStyle w:val="Heading1"/>
      </w:pPr>
      <w:r>
        <w:t xml:space="preserve">Bredband till alla byar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Vellinge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PTS statistik 2023 visar att delar av östra Vellinge saknar fiber. Detta försvårar distansarbete och företagande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Vellinge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kartlägger områden utan bredband över 100 Mbit/s.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Telia och andra operatörer prioriteras i budget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stöd söks från statliga bredbandsstöd.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 om 95 procent täckning nås senast 2028.</w:t>
      </w:r>
    </w:p>
    <w:p>
      <w:pPr>
        <w:spacing w:before="360"/>
      </w:pPr>
    </w:p>
    <w:p>
      <w:r>
        <w:t xml:space="preserve">Vellinge,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Vellinge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2026-07-14T01:47:44.771Z</dcterms:created>
  <dcterms:modified xsi:type="dcterms:W3CDTF">2026-07-14T01:47:44.771Z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