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Simrishamn kommunfullmäktige</w:t>
      </w:r>
    </w:p>
    <w:p>
      <w:pPr>
        <w:pStyle w:val="Heading1"/>
      </w:pPr>
      <w:r>
        <w:t xml:space="preserve">Enklare tillstånd och lägre avgifter för lokala 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Simrishamn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Företagsklimatet rankas lågt (142/290, Svenskt Näringsliv 2025). Långa handläggningstider och höga avgifter hämmar nyetableringar.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Simrishamn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handläggningstider för bygglov och serveringstillstånd maximeras till 6 veckor.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avgifterna för småföretag sänks med 20 %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digital portal för tillstånd införs.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dialog med näringslivet arrangeras.</w:t>
      </w:r>
    </w:p>
    <w:p>
      <w:pPr>
        <w:spacing w:before="360"/>
      </w:pPr>
    </w:p>
    <w:p>
      <w:r>
        <w:t xml:space="preserve">Simrishamn,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Simrishamn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2026-07-14T01:12:16.940Z</dcterms:created>
  <dcterms:modified xsi:type="dcterms:W3CDTF">2026-07-14T01:12:16.940Z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