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Östra Göinge kommunfullmäktige</w:t>
      </w:r>
    </w:p>
    <w:p>
      <w:pPr>
        <w:pStyle w:val="Heading1"/>
      </w:pPr>
      <w:r>
        <w:t xml:space="preserve">Snabbare och enklare bygglov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Östra Göinge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Östra Göinge rankas 248/290 i företagsklimat (Svenskt Näringsliv 2025). Handläggningstider för bygglov överstiger ofta 12 veckor. Detta drabbar särskilt småföretagare på landsbygden som vill expandera.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Östra Göinge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tidsgaranti på maximalt 6 veckor för bygglov under 300 kvm.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byggnadsnämnden i uppdrag att införa digital ansökningsportal med e-tjänst.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sänker bygglovsavgifterna med 25 % för företag med färre än 10 anställda.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redovisar handläggningstider per ärendetyp.</w:t>
      </w:r>
    </w:p>
    <w:p>
      <w:pPr>
        <w:spacing w:before="360"/>
      </w:pPr>
    </w:p>
    <w:p>
      <w:r>
        <w:t xml:space="preserve">Östra Göinge,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Östra Göinge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2026-07-14T02:06:08.120Z</dcterms:created>
  <dcterms:modified xsi:type="dcterms:W3CDTF">2026-07-14T02:06:08.120Z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