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Lund kommunfullmäktige</w:t>
      </w:r>
    </w:p>
    <w:p>
      <w:pPr>
        <w:pStyle w:val="Heading1"/>
      </w:pPr>
      <w:r>
        <w:t xml:space="preserve">Stärk landsbygdsskolornas ekonomi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Lund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meritvärden på skolor i Dalby och Södra Sandby ligger 25 poäng under kommunsnittet. Resursfördelningen missgynnar mindre skolenheter.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Lund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ny resursfördelningsmodell tas fram som tar hänsyn till landsbygdens förutsättningar.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5 miljoner kronor öronmärks årligen för landsbygdsskolor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skolornas möjlighet till distansundervisning och digitala verktyg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modellens effekter redovisas 2028.</w:t>
      </w:r>
    </w:p>
    <w:p>
      <w:pPr>
        <w:spacing w:before="360"/>
      </w:pPr>
    </w:p>
    <w:p>
      <w:r>
        <w:t xml:space="preserve">Lund,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Lund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2026-07-14T00:44:32.012Z</dcterms:created>
  <dcterms:modified xsi:type="dcterms:W3CDTF">2026-07-14T00:44:32.012Z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