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Lomma kommunfullmäktige</w:t>
      </w:r>
    </w:p>
    <w:p>
      <w:pPr>
        <w:pStyle w:val="Heading1"/>
      </w:pPr>
      <w:r>
        <w:t xml:space="preserve">Bevarande av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Lomma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Lomma har hög skolmerit men landsbygdsskolor riskerar nedläggning. Skolverkets statistik visar att små skolor ger bra studiero och lokalt engagemang. Föräldraundersökningar 2025 stödjer bevarande.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Lomma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fortsatt drift av befintliga landsbygdsskolor.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investeringar i lokaler och digital utrustning prioriteras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föreningsliv för skolaktiviteter uppmuntras.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skolornas kvalitet görs årligen.</w:t>
      </w:r>
    </w:p>
    <w:p>
      <w:pPr>
        <w:spacing w:before="360"/>
      </w:pPr>
    </w:p>
    <w:p>
      <w:r>
        <w:t xml:space="preserve">Lomma,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Lomma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2026-07-14T00:43:03.402Z</dcterms:created>
  <dcterms:modified xsi:type="dcterms:W3CDTF">2026-07-14T00:43:03.402Z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