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Landskrona kommunfullmäktige</w:t>
      </w:r>
    </w:p>
    <w:p>
      <w:pPr>
        <w:pStyle w:val="Heading1"/>
      </w:pPr>
      <w:r>
        <w:t xml:space="preserve">Utveckla Landskrona hamn som grön energihub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Landskrona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Hamnens utsläpp bidrar till kommunens klimatpåverkan. Potential finns för vind- och vätgas enligt Energimyndigheten. Grön omställning skapar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Landskrona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hamnstyrelsen i uppdrag att ta fram en strategi för grön energi i hamnen.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ansöker om statliga medel för vätgasinfrastruktur.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prioriterar elanslutning av fartyg i hamnen.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samverkar med regionen för en pilotanläggning.</w:t>
      </w:r>
    </w:p>
    <w:p>
      <w:pPr>
        <w:spacing w:before="360"/>
      </w:pPr>
    </w:p>
    <w:p>
      <w:r>
        <w:t xml:space="preserve">Landskrona,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Landskrona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2026-07-14T00:35:33.583Z</dcterms:created>
  <dcterms:modified xsi:type="dcterms:W3CDTF">2026-07-14T00:35:33.584Z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