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Kävlinge kommunfullmäktige</w:t>
      </w:r>
    </w:p>
    <w:p>
      <w:pPr>
        <w:pStyle w:val="Heading1"/>
      </w:pPr>
      <w:r>
        <w:t xml:space="preserve">Utveckla hållbar besöksnäring kring natur och kultur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Kävlinge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Kävlinge har tillgång till åar, slättlandskap och historiska platser. Besöksnäringen är underutvecklad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Kävlinge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strategi för hållbar turism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stödja lokala producenter med skyltning och evenemang.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utveckla vandringsleder längs Kävlingeån.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Visit Skåne för marknadsföring.</w:t>
      </w:r>
    </w:p>
    <w:p>
      <w:pPr>
        <w:spacing w:before="360"/>
      </w:pPr>
    </w:p>
    <w:p>
      <w:r>
        <w:t xml:space="preserve">Kävlinge,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Kävlinge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2026-07-14T00:34:05.705Z</dcterms:created>
  <dcterms:modified xsi:type="dcterms:W3CDTF">2026-07-14T00:34:05.705Z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