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Kävlinge kommunfullmäktige</w:t>
      </w:r>
    </w:p>
    <w:p>
      <w:pPr>
        <w:pStyle w:val="Heading1"/>
      </w:pPr>
      <w:r>
        <w:t xml:space="preserve">Bygg ut säkra cykelvägar mot Lund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Kävlinge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rapporterar hög pendling från Kävlinge till Lund. Saknade eller osäkra cykelvägar ökar bilberoendet och riskerna för cyklister.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Kävlinge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cykelväg längs väg 108 mot Lund i nästa investeringsbudget.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ansöka om statligt stöd via Trafikverket för cykelinfrastruktur.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upprätta en cykelplan tillsammans med Lunds kommun.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och redovisa cykelpendling årligen.</w:t>
      </w:r>
    </w:p>
    <w:p>
      <w:pPr>
        <w:spacing w:before="360"/>
      </w:pPr>
    </w:p>
    <w:p>
      <w:r>
        <w:t xml:space="preserve">Kävlinge,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Kävlinge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2026-07-14T00:34:05.673Z</dcterms:created>
  <dcterms:modified xsi:type="dcterms:W3CDTF">2026-07-14T00:34:05.673Z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