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Höör kommunfullmäktige</w:t>
      </w:r>
    </w:p>
    <w:p>
      <w:pPr>
        <w:pStyle w:val="Heading1"/>
      </w:pPr>
      <w:r>
        <w:t xml:space="preserve">Stöd till lokala producenter och besöksnäring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Höör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Skånes Djurpark och närliggande producenter bidrar med över 200 arbetstillfällen. Ökad samverkan kan stärka cirkulär ekonomi och hållbar turism enligt kommunens näringslivsstrategi.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Höör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inrättar ett lokalt producentnätverk med årligt anslag på 500 000 kr.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marknadsföring av Höör som besöksmål förstärks via Visit Skåne.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evenemang som kopplar natur och kultur prioriteras.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effekter på sysselsättning utvärderas årligen.</w:t>
      </w:r>
    </w:p>
    <w:p>
      <w:pPr>
        <w:spacing w:before="360"/>
      </w:pPr>
    </w:p>
    <w:p>
      <w:r>
        <w:t xml:space="preserve">Höör,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Höör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2026-07-14T00:20:04.964Z</dcterms:created>
  <dcterms:modified xsi:type="dcterms:W3CDTF">2026-07-14T00:20:04.964Z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