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Höganäs kommunfullmäktige</w:t>
      </w:r>
    </w:p>
    <w:p>
      <w:pPr>
        <w:pStyle w:val="Heading1"/>
      </w:pPr>
      <w:r>
        <w:t xml:space="preserve">Cirkulär ekonomi för keramikindustrin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Höganäs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Höganäs har en lång tradition av keramikproduktion. Ökad återvinning och cirkulära flöden kan stärka både miljö och lokala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Höganäs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tar fram en strategi för cirkulär ekonomi tillsammans med keramikföretagen.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inrättar en återvinningsstation för keramikavfall.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uppmuntrar gröna investeringar via kommunens näringslivsråd.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antalet nya gröna jobb årligen.</w:t>
      </w:r>
    </w:p>
    <w:p>
      <w:pPr>
        <w:spacing w:before="360"/>
      </w:pPr>
    </w:p>
    <w:p>
      <w:r>
        <w:t xml:space="preserve">Höganäs,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Höganäs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2026-07-14T00:18:27.856Z</dcterms:created>
  <dcterms:modified xsi:type="dcterms:W3CDTF">2026-07-14T00:18:27.856Z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