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Helsingborg kommunfullmäktige</w:t>
      </w:r>
    </w:p>
    <w:p>
      <w:pPr>
        <w:pStyle w:val="Heading1"/>
      </w:pPr>
      <w:r>
        <w:t xml:space="preserve">Stöd till lokala föreningar för service i Helsingborg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Helsingborg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byalag och föreningar i Helsingborgs landsbygd utför viktig service som biblioteksverksamhet och samlingslokaler. Kommunen kan decentralisera service och stärka civilsamhället genom ökat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Helsingborg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kultur- och fritidsnämnden i uppdrag att höja föreningsbidraget med 15 % för landsbygdsföreningar.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om ett pilotprojekt där tre föreningar får ansvar för viss kommunal service mot ersättning.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en översyn av lokalfördelning så att föreningar prioriteras framför kommersiella aktörer.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effekterna av stödet årligen.</w:t>
      </w:r>
    </w:p>
    <w:p>
      <w:pPr>
        <w:spacing w:before="360"/>
      </w:pPr>
    </w:p>
    <w:p>
      <w:r>
        <w:t xml:space="preserve">Helsingborg,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Helsingborg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2026-07-14T00:10:35.789Z</dcterms:created>
  <dcterms:modified xsi:type="dcterms:W3CDTF">2026-07-14T00:10:35.789Z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