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Hässleholm kommunfullmäktige</w:t>
      </w:r>
    </w:p>
    <w:p>
      <w:pPr>
        <w:pStyle w:val="Heading1"/>
      </w:pPr>
      <w:r>
        <w:t xml:space="preserve">Digitalisering av kommunal service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Hässleholm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Många invånare upplever krånglig kontakt med kommunen (SKR 2025). Digitala tjänster kan öka tillgänglighet och effektivitet.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Hässleholm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en digital strategi med mål om 80 % digitala ärenden 2029 antas.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e-tjänster för bygglov, bidrag och äldreomsorg prioriteras.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utbildning erbjuds till personal och medborgare.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digitaliseringsrapport lämnas till fullmäktige.</w:t>
      </w:r>
    </w:p>
    <w:p>
      <w:pPr>
        <w:spacing w:before="360"/>
      </w:pPr>
    </w:p>
    <w:p>
      <w:r>
        <w:t xml:space="preserve">Hässleholm,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Hässleholm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2026-07-14T00:17:59.886Z</dcterms:created>
  <dcterms:modified xsi:type="dcterms:W3CDTF">2026-07-14T00:17:59.886Z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