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Båstad kommunfullmäktige</w:t>
      </w:r>
    </w:p>
    <w:p>
      <w:pPr>
        <w:pStyle w:val="Heading1"/>
      </w:pPr>
      <w:r>
        <w:t xml:space="preserve">Förenklad tillståndsgivning för besöksnäring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Båstad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Svenskt Näringsliv 2025 rankar Båstad lågt gällande tillståndsprocesser. Enklare regler kan stärka företagande och turism.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Båstad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one-stop-shop för tillstånd införs hos näringslivskontoret.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avgifter för evenemangstillstånd sänks med 30 % under lågsäsong.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samråd med företagare genomförs två gånger per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följs upp i kommunfullmäktige 2027.</w:t>
      </w:r>
    </w:p>
    <w:p>
      <w:pPr>
        <w:spacing w:before="360"/>
      </w:pPr>
    </w:p>
    <w:p>
      <w:r>
        <w:t xml:space="preserve">Båstad,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Båstad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2026-07-13T23:46:09.326Z</dcterms:created>
  <dcterms:modified xsi:type="dcterms:W3CDTF">2026-07-13T23:46:09.326Z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