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Ydre kommunfullmäktige</w:t>
      </w:r>
    </w:p>
    <w:p>
      <w:pPr>
        <w:pStyle w:val="Heading1"/>
      </w:pPr>
      <w:r>
        <w:t xml:space="preserve">Bredband till alla hushåll i Ydre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Ydre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PTS 2024 saknar 18 procent av hushållen i Ydre tillgång till 100 Mbit/s bredband, främst på landsbygden. Detta hämmar distansarbete, företagande och digital delaktighet. Kommunen har tidigare avsatt medel men utbyggnaden går för långsamt jämfört med grannkommuner.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Ydre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kommunstyrelsen i uppdrag att ta fram en tidsatt handlingsplan för fiberutbyggnad till samtliga hushåll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avsätter 3 miljoner kronor per år 2027–2029 för medfinansiering av bredbandsprojekt.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Telia och lokala fiberföreningar prioriteras i upphandlingar.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uppföljning av bredbandstäckning redovisas i kommunfullmäktige.</w:t>
      </w:r>
    </w:p>
    <w:p>
      <w:pPr>
        <w:spacing w:before="360"/>
      </w:pPr>
    </w:p>
    <w:p>
      <w:r>
        <w:t xml:space="preserve">Ydre,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Ydre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2026-07-14T01:54:56.167Z</dcterms:created>
  <dcterms:modified xsi:type="dcterms:W3CDTF">2026-07-14T01:54:56.167Z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