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Söderköping kommunfullmäktige</w:t>
      </w:r>
    </w:p>
    <w:p>
      <w:pPr>
        <w:pStyle w:val="Heading1"/>
      </w:pPr>
      <w:r>
        <w:t xml:space="preserve">Cykelvägar längs Göta kanal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Söderköping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Turismen längs Göta kanal är viktig för Söderköping men saknar sammanhängande säkra cykelvägar mellan tätorten och kanalstråket. Kommunens cykelplan 2023 är inte genomförd.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Söderköping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uppdaterar cykelplanen med prioritering av sträckan Söderköping–Mem.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4 miljoner kronor för byggnation av separerad cykelväg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uppdrar åt tekniska nämnden att söka statliga medel via Trafikverket.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uppföljning av genomförda cykelåtgärder.</w:t>
      </w:r>
    </w:p>
    <w:p>
      <w:pPr>
        <w:spacing w:before="360"/>
      </w:pPr>
    </w:p>
    <w:p>
      <w:r>
        <w:t xml:space="preserve">Söderköping,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Söderköping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2026-07-14T01:28:14.139Z</dcterms:created>
  <dcterms:modified xsi:type="dcterms:W3CDTF">2026-07-14T01:28:14.139Z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