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Motala kommunfullmäktige</w:t>
      </w:r>
    </w:p>
    <w:p>
      <w:pPr>
        <w:pStyle w:val="Heading1"/>
      </w:pPr>
      <w:r>
        <w:t xml:space="preserve">Bättre bredband och mobilnät på Motalas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Motala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områden utanför tätorten saknar fiber och har svag 4G/5G-täckning enligt PTS 2025. Detta hindrar distansarbete, företagande och service. Kommunen behöver prioritera utbyggnad i samverkan med operatörer.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Motala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bredbandsutbyggnad på landsbygden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2 miljoner kronor årligen i budgeten för medfinansiering av fiberprojekt.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dialog inleds med Telia och andra operatörer om förbättrad mobilnätstäckning längs väg 50 och 32.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kommunfullmäktige senast juni 2027.</w:t>
      </w:r>
    </w:p>
    <w:p>
      <w:pPr>
        <w:spacing w:before="360"/>
      </w:pPr>
    </w:p>
    <w:p>
      <w:r>
        <w:t xml:space="preserve">Motala,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Motala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2026-07-14T00:50:45.612Z</dcterms:created>
  <dcterms:modified xsi:type="dcterms:W3CDTF">2026-07-14T00:50:45.612Z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