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Mjölby kommunfullmäktige</w:t>
      </w:r>
    </w:p>
    <w:p>
      <w:pPr>
        <w:pStyle w:val="Heading1"/>
      </w:pPr>
      <w:r>
        <w:t xml:space="preserve">Bredband till alla delar av Mjölby kommun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Mjölby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Enligt PTS 2024 saknar flera landsbygdsområden i Mjölby fiber eller snabbt bredband. Detta hindrar distansarbete, företagsetablering och digital inkludering. Kommunen har tidigare prioriterat tätorten vilket skapat ojämlikhet (kommunens bredbandsstrategi 2023).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Mjölby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uppdatera bredbandsstrategin med tydliga mål för 100 % täckning senast 2030.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avsätta 3 miljoner kronor årligen i budget för fiberutbyggnad på landsbygden.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inrätta en samordningsfunktion mellan kommunen, operatörer och länsstyrelsen.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årligen redovisa täckningsgrad per kommundel till fullmäktige.</w:t>
      </w:r>
    </w:p>
    <w:p>
      <w:pPr>
        <w:spacing w:before="360"/>
      </w:pPr>
    </w:p>
    <w:p>
      <w:r>
        <w:t xml:space="preserve">Mjölby,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Mjölby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2026-07-14T00:49:40.805Z</dcterms:created>
  <dcterms:modified xsi:type="dcterms:W3CDTF">2026-07-14T00:49:40.805Z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