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Linköping kommunfullmäktige</w:t>
      </w:r>
    </w:p>
    <w:p>
      <w:pPr>
        <w:pStyle w:val="Heading1"/>
      </w:pPr>
      <w:r>
        <w:t xml:space="preserve">Utveckla hållbar turism kring Gamla Linköping och naturen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Linköping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Gamla Linköping lockar över 300 000 besökare årligen men saknar koppling till omgivande natur och lokala producenter. Besöksnäringen kan växa hållbart med bättre infrastruktur och samverkan.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Linköping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ta fram en turismstrategi för Gamla Linköping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stödja lokala producenter med pop-up-marknader.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förbättra cykel- och gångvägar till naturreservat.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mäta besöksnäringens ekonomiska effekt årligen.</w:t>
      </w:r>
    </w:p>
    <w:p>
      <w:pPr>
        <w:spacing w:before="360"/>
      </w:pPr>
    </w:p>
    <w:p>
      <w:r>
        <w:t xml:space="preserve">Linköping,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Linköping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2026-07-14T00:40:57.461Z</dcterms:created>
  <dcterms:modified xsi:type="dcterms:W3CDTF">2026-07-14T00:40:57.461Z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