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Linköping kommunfullmäktige</w:t>
      </w:r>
    </w:p>
    <w:p>
      <w:pPr>
        <w:pStyle w:val="Heading1"/>
      </w:pPr>
      <w:r>
        <w:t xml:space="preserve">Bredband till alla delar av Linköpings landsbygd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Linköping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2025 saknar cirka 15 % av hushållen på landsbygden fiber eller snabb uppkoppling. Detta hindrar distansarbete, utbildning och företagande i områden som Sturefors och Vikingstad. Kolada visar lägre digital delaktighet utanför centrum. Centerpartiet vill säkerställa jämlik tillgång till digital infrastruktur.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Linköping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kartlägga återstående områden utan fiber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5 miljoner kronor årligen för bredbandsutbyggnad i samverkan med operatörer.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landsbygdsområden i kommande infrastrukturplan.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återrapportera resultat till kommunfullmäktige senast 2028.</w:t>
      </w:r>
    </w:p>
    <w:p>
      <w:pPr>
        <w:spacing w:before="360"/>
      </w:pPr>
    </w:p>
    <w:p>
      <w:r>
        <w:t xml:space="preserve">Linköping,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Linköping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2026-07-14T00:40:57.401Z</dcterms:created>
  <dcterms:modified xsi:type="dcterms:W3CDTF">2026-07-14T00:40:57.401Z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