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Kinda kommunfullmäktige</w:t>
      </w:r>
    </w:p>
    <w:p>
      <w:pPr>
        <w:pStyle w:val="Heading1"/>
      </w:pPr>
      <w:r>
        <w:t xml:space="preserve">Ökad biologisk mångfald i kommunens skogar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Kinda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Kinda äger betydande skogsarealer. En ökad andel lövskog och död ved kan stärka biologisk mångfald och klimatanpassning enligt Skogsstyrelsens rekommendationer.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Kinda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antar en skogsbruksplan med mål om 30 % lövskog inom tio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naturvårdshänsyn prioriteras vid avverkning på kommunal mark.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ideella naturorganisationer inleds för inventering.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redovisning av biologisk mångfald lämnas till kommunfullmäktige.</w:t>
      </w:r>
    </w:p>
    <w:p>
      <w:pPr>
        <w:spacing w:before="360"/>
      </w:pPr>
    </w:p>
    <w:p>
      <w:r>
        <w:t xml:space="preserve">Kinda,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Kinda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2026-07-14T00:27:37.567Z</dcterms:created>
  <dcterms:modified xsi:type="dcterms:W3CDTF">2026-07-14T00:27:37.567Z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