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Kinda kommunfullmäktige</w:t>
      </w:r>
    </w:p>
    <w:p>
      <w:pPr>
        <w:pStyle w:val="Heading1"/>
      </w:pPr>
      <w:r>
        <w:t xml:space="preserve">Stöd till lokal besöksnäring och natur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Kinda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Kinda har stora naturvärden kring Sommen och Stångån. Besöksnäringen kan växa men saknar samordning och marknadsföring. Turismen kan skapa lokala jobb.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Kinda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tar fram en besöksnäringsstrategi tillsammans med lokala aktörer under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medel avsätts för gemensam marknadsföring av Kinda som naturturismdestination.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cykel- och vandringsleder rustas upp och skyltas.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lokala producenter för mathantverk uppmuntras.</w:t>
      </w:r>
    </w:p>
    <w:p>
      <w:pPr>
        <w:spacing w:before="360"/>
      </w:pPr>
    </w:p>
    <w:p>
      <w:r>
        <w:t xml:space="preserve">Kinda,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Kinda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2026-07-14T00:27:37.559Z</dcterms:created>
  <dcterms:modified xsi:type="dcterms:W3CDTF">2026-07-14T00:27:37.560Z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