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Finspång kommunfullmäktige</w:t>
      </w:r>
    </w:p>
    <w:p>
      <w:pPr>
        <w:pStyle w:val="Heading1"/>
      </w:pPr>
      <w:r>
        <w:t xml:space="preserve">Bevara och utveckla landsbygdsskolor i Finspång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Finspång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landsbygdsskolor riskerar nedläggning enligt budgetunderlag 2025. Kolada visar att mindre skolor ofta ger bättre studiero och trygghet. Centerpartiet vill värna valfrihet och närhet till skolan för familjer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Finspång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landsbygdsskola med färre än 50 elever ska läggas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medel för digital utrustning och samverkan mellan landsbygdsskolor.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ger barn- och utbildningsnämnden i uppdrag att utreda samordnad skolskjuts och måltidslösningar.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årligen följer upp elevantal och trivsel på landsbygdsskolorna.</w:t>
      </w:r>
    </w:p>
    <w:p>
      <w:pPr>
        <w:spacing w:before="360"/>
      </w:pPr>
    </w:p>
    <w:p>
      <w:r>
        <w:t xml:space="preserve">Finspång,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Finspång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2026-07-13T23:55:35.024Z</dcterms:created>
  <dcterms:modified xsi:type="dcterms:W3CDTF">2026-07-13T23:55:35.024Z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