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Boxholm kommunfullmäktige</w:t>
      </w:r>
    </w:p>
    <w:p>
      <w:pPr>
        <w:pStyle w:val="Heading1"/>
      </w:pPr>
      <w:r>
        <w:t xml:space="preserve">Biologisk mångfald och grön energi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Boxholm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skogar har höga naturvärden. Klimatstrategin saknar konkreta åtgärder för biologisk mångfald.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Boxholm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anta en handlingsplan för biologisk mångfald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fullmäktige ger tekniska nämnden i uppdrag att öka andelen solceller på kommunala fastigheter.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kartläggning av invasiva arter genomförs.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samverkan med skogsägare för gröna korridorer uppmuntras.</w:t>
      </w:r>
    </w:p>
    <w:p>
      <w:pPr>
        <w:spacing w:before="360"/>
      </w:pPr>
    </w:p>
    <w:p>
      <w:r>
        <w:t xml:space="preserve">Boxholm,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Boxholm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2026-07-13T23:44:07.102Z</dcterms:created>
  <dcterms:modified xsi:type="dcterms:W3CDTF">2026-07-13T23:44:07.102Z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