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Örebro kommunfullmäktige</w:t>
      </w:r>
    </w:p>
    <w:p>
      <w:pPr>
        <w:pStyle w:val="Heading1"/>
      </w:pPr>
      <w:r>
        <w:t xml:space="preserve">Utbyggnad av fiber på landsbygden i Örebro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Örebro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18 % av hushållen på landsbygden fiber trots att Örebro kommun har mål om 100 % täckning 2027. Detta försvårar distansarbete och företagsetablering i områden som Kilsmo och Glanshammar. Kommunen behöver prioritera samordning med operatörer för att nå hela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Örebro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bredbandsstrategin med tydliga tidsplaner för fiberutbyggnad i samtliga landsbygdsområden.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5 mnkr årligen 2027–2029 för samfinansiering av fiberprojekt.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en samordningsfunktion mellan kommunen och operatörer för prioritering av vita fläckar.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årlig uppföljning av bredbandstäckning till kommunfullmäktige.</w:t>
      </w:r>
    </w:p>
    <w:p>
      <w:pPr>
        <w:spacing w:before="360"/>
      </w:pPr>
    </w:p>
    <w:p>
      <w:r>
        <w:t xml:space="preserve">Örebro,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Örebro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2026-07-14T02:03:02.068Z</dcterms:created>
  <dcterms:modified xsi:type="dcterms:W3CDTF">2026-07-14T02:03:02.068Z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