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Kumla kommunfullmäktige</w:t>
      </w:r>
    </w:p>
    <w:p>
      <w:pPr>
        <w:pStyle w:val="Heading1"/>
      </w:pPr>
      <w:r>
        <w:t xml:space="preserve">Bredband till alla delar av Kumla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Kumla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2024 saknar 18 % av hushållen på Kumlas landsbygd tillgång till fiber med minst 100 Mbit/s. Detta hämmar distansarbete och företagsetableringar. Kommunen har tidigare avsatt medel men takten är för låg jämfört med grannkommuner.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Kumla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ta fram en tidsplan för fiberutbyggnad i prioriterade landsbygdsområden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3 miljoner kronor årligen i budgeten för medfinansiering av bredbandsprojekt.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Telia och andra operatörer prioriteras för att nå 95 % täckning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invånare på landsbygden ges möjlighet att lämna synpunkter via e-tjänst under planeringsfasen.</w:t>
      </w:r>
    </w:p>
    <w:p>
      <w:pPr>
        <w:spacing w:before="360"/>
      </w:pPr>
    </w:p>
    <w:p>
      <w:r>
        <w:t xml:space="preserve">Kumla,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Kumla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2026-07-14T00:31:55.354Z</dcterms:created>
  <dcterms:modified xsi:type="dcterms:W3CDTF">2026-07-14T00:31:55.354Z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