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Hallsberg kommunfullmäktige</w:t>
      </w:r>
    </w:p>
    <w:p>
      <w:pPr>
        <w:pStyle w:val="Heading1"/>
      </w:pPr>
      <w:r>
        <w:t xml:space="preserve">Bredband och mobil täckning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Hallsberg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Hallsberg har fortfarande områden utan fiber eller god 4G/5G-täckning enligt PTS 2025. Detta drabbar företag, distansarbete och vardagsservice på landsbygden. Kommunen behöver ta ett aktivt samordningsansvar.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Hallsberg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kartlägga återstående vita fläckar för bredband och mobil täckning.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medel för samfinansiering av fiberutbyggnad i prioriterade områden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initierar dialog med operatörer om förbättrad mobil täckning längs vägar och i tätorter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till kommunfullmäktige senast juni 2027.</w:t>
      </w:r>
    </w:p>
    <w:p>
      <w:pPr>
        <w:spacing w:before="360"/>
      </w:pPr>
    </w:p>
    <w:p>
      <w:r>
        <w:t xml:space="preserve">Hallsberg,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Hallsberg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2026-07-14T00:06:01.296Z</dcterms:created>
  <dcterms:modified xsi:type="dcterms:W3CDTF">2026-07-14T00:06:01.296Z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