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Degerfors kommunfullmäktige</w:t>
      </w:r>
    </w:p>
    <w:p>
      <w:pPr>
        <w:pStyle w:val="Heading1"/>
      </w:pPr>
      <w:r>
        <w:t xml:space="preserve">Utveckla hållbar turism och besöksnäring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Degerfors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Degerfors har natur och kulturpotential men saknar samlad strategi. Besöksnäringen kan skapa nya jobb.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Degerfors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Degerfors kommunfullmäktige beslutar att ta fram en besöksnäringsstrategi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stödja lokala producenter och evenemang med 500 tkr årligen.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skyltning och digital information om naturreservat förbättras.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Örebro länsturism formaliseras.</w:t>
      </w:r>
    </w:p>
    <w:p>
      <w:pPr>
        <w:spacing w:before="360"/>
      </w:pPr>
    </w:p>
    <w:p>
      <w:r>
        <w:t xml:space="preserve">Degerfors,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Degerfors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2026-07-13T23:47:51.446Z</dcterms:created>
  <dcterms:modified xsi:type="dcterms:W3CDTF">2026-07-13T23:47:51.446Z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