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Pajala kommunfullmäktige</w:t>
      </w:r>
    </w:p>
    <w:p>
      <w:pPr>
        <w:pStyle w:val="Heading1"/>
      </w:pPr>
      <w:r>
        <w:t xml:space="preserve">Stöd för lokalt företagande och lägre avgifter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Pajala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Näringslivs ranking 2025 placerar Pajala på plats 142. Höga avgifter och långa handläggningstider hämmar nyetableringar. Gruvnäringen och småföretagare behöver enklare regler för att skapa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Pajala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sänkta bygglovs- och tillsynsavgifter med 20 %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 e-tjänst för tillstånd införs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ett lokalt företagsråd inrättas med representation från näringslivet.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kommunens upphandlingar prioriterar lokala leverantörer.</w:t>
      </w:r>
    </w:p>
    <w:p>
      <w:pPr>
        <w:spacing w:before="360"/>
      </w:pPr>
    </w:p>
    <w:p>
      <w:r>
        <w:t xml:space="preserve">Pajala,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Pajala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2026-07-14T01:05:27.937Z</dcterms:created>
  <dcterms:modified xsi:type="dcterms:W3CDTF">2026-07-14T01:05:27.937Z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