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Kiruna kommunfullmäktige</w:t>
      </w:r>
    </w:p>
    <w:p>
      <w:pPr>
        <w:pStyle w:val="Heading1"/>
      </w:pPr>
      <w:r>
        <w:t xml:space="preserve">Effektiv digital kommunservice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Kiruna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Kiruna kommun har låg digital mognad enligt SKR. Medborgare efterfrågar enklare e-tjänster.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Kiruna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alla vanliga ärenden ska kunna hanteras digitalt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digitaliseringsstrategi med fokus på landsbygd antas.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utbildning i digitala verktyg erbjuds till äldre och nyanlända.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mål om 80 % digitala ärenden sätts upp i budgeten.</w:t>
      </w:r>
    </w:p>
    <w:p>
      <w:pPr>
        <w:spacing w:before="360"/>
      </w:pPr>
    </w:p>
    <w:p>
      <w:r>
        <w:t xml:space="preserve">Kiruna,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Kiruna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2026-07-14T00:28:06.218Z</dcterms:created>
  <dcterms:modified xsi:type="dcterms:W3CDTF">2026-07-14T00:28:06.218Z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