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Kalix kommunfullmäktige</w:t>
      </w:r>
    </w:p>
    <w:p>
      <w:pPr>
        <w:pStyle w:val="Heading1"/>
      </w:pPr>
      <w:r>
        <w:t xml:space="preserve">Främja grön energi och biologisk mångfald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Kalix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Kalix har goda förutsättningar för vind- och solenergi. Samtidigt behöver ängs- och våtmarksområden skyddas för biologisk mångfald (Länsstyrelsen Norrbotten 2024).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Kalix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ta fram en energi- och klimatplan med mål om 100 % förnybar el 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skydda minst 500 hektar värdefull natur.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erbjuda stöd till solcellsanläggningar på kommunala fastigheter.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samverka med samebyar kring markanvändning.</w:t>
      </w:r>
    </w:p>
    <w:p>
      <w:pPr>
        <w:spacing w:before="360"/>
      </w:pPr>
    </w:p>
    <w:p>
      <w:r>
        <w:t xml:space="preserve">Kalix,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Kalix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2026-07-14T00:22:26.103Z</dcterms:created>
  <dcterms:modified xsi:type="dcterms:W3CDTF">2026-07-14T00:22:26.103Z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